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0360" w14:textId="77777777" w:rsidR="00E8507B" w:rsidRDefault="00E8507B">
      <w:pPr>
        <w:jc w:val="center"/>
        <w:rPr>
          <w:b/>
          <w:sz w:val="32"/>
        </w:rPr>
      </w:pPr>
    </w:p>
    <w:p w14:paraId="2A2948A0" w14:textId="77777777" w:rsidR="00BC22C9" w:rsidRDefault="00BC22C9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center"/>
        <w:rPr>
          <w:b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E336F0" wp14:editId="64BF88E0">
            <wp:extent cx="1432560" cy="944880"/>
            <wp:effectExtent l="0" t="0" r="0" b="7620"/>
            <wp:docPr id="1" name="Picture 1" descr="C:\Users\sroberson\Desktop\Management 2014\Forms\AH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berson\Desktop\Management 2014\Forms\AHA Log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F84C" w14:textId="77777777" w:rsidR="00BC22C9" w:rsidRPr="004C31DF" w:rsidRDefault="00BC22C9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center"/>
        <w:rPr>
          <w:b/>
          <w:sz w:val="10"/>
          <w:szCs w:val="10"/>
        </w:rPr>
      </w:pPr>
    </w:p>
    <w:p w14:paraId="3AE92ABD" w14:textId="783D2871" w:rsidR="004C31DF" w:rsidRDefault="00CC7321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 Notice</w:t>
      </w:r>
    </w:p>
    <w:p w14:paraId="5223C57D" w14:textId="77777777" w:rsidR="00E8507B" w:rsidRPr="003572AF" w:rsidRDefault="00FE077B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center"/>
        <w:rPr>
          <w:rFonts w:ascii="Times New Roman" w:hAnsi="Times New Roman"/>
          <w:b/>
          <w:szCs w:val="24"/>
        </w:rPr>
      </w:pPr>
      <w:r w:rsidRPr="003572AF">
        <w:rPr>
          <w:rFonts w:ascii="Times New Roman" w:hAnsi="Times New Roman"/>
          <w:b/>
          <w:szCs w:val="24"/>
        </w:rPr>
        <w:t>*</w:t>
      </w:r>
      <w:r w:rsidR="009109C6" w:rsidRPr="003572AF">
        <w:rPr>
          <w:rFonts w:ascii="Times New Roman" w:hAnsi="Times New Roman"/>
          <w:b/>
          <w:szCs w:val="24"/>
        </w:rPr>
        <w:t>Property Owners and Agents</w:t>
      </w:r>
      <w:r w:rsidRPr="003572AF">
        <w:rPr>
          <w:rFonts w:ascii="Times New Roman" w:hAnsi="Times New Roman"/>
          <w:b/>
          <w:szCs w:val="24"/>
        </w:rPr>
        <w:t>*</w:t>
      </w:r>
    </w:p>
    <w:p w14:paraId="415C2B45" w14:textId="77777777" w:rsidR="00E8507B" w:rsidRPr="003572AF" w:rsidRDefault="00E8507B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both"/>
        <w:rPr>
          <w:rFonts w:ascii="Times New Roman" w:hAnsi="Times New Roman"/>
          <w:sz w:val="10"/>
          <w:szCs w:val="10"/>
        </w:rPr>
      </w:pPr>
    </w:p>
    <w:p w14:paraId="07F4CE43" w14:textId="77777777" w:rsidR="004C31DF" w:rsidRPr="003572AF" w:rsidRDefault="004C31DF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both"/>
        <w:rPr>
          <w:rFonts w:ascii="Times New Roman" w:hAnsi="Times New Roman"/>
          <w:sz w:val="10"/>
          <w:szCs w:val="10"/>
        </w:rPr>
      </w:pPr>
    </w:p>
    <w:p w14:paraId="55998BCC" w14:textId="48A54F0A" w:rsidR="008A16D3" w:rsidRPr="003572AF" w:rsidRDefault="00E8507B" w:rsidP="001E5FFB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both"/>
        <w:rPr>
          <w:rFonts w:ascii="Times New Roman" w:hAnsi="Times New Roman"/>
          <w:b/>
          <w:szCs w:val="24"/>
        </w:rPr>
      </w:pPr>
      <w:r w:rsidRPr="003572AF">
        <w:rPr>
          <w:rFonts w:ascii="Times New Roman" w:hAnsi="Times New Roman"/>
          <w:b/>
          <w:szCs w:val="24"/>
        </w:rPr>
        <w:t>The Housing Authority of the City of Augusta, Georgia is currently seeking property owner</w:t>
      </w:r>
      <w:r w:rsidR="00E51A94" w:rsidRPr="003572AF">
        <w:rPr>
          <w:rFonts w:ascii="Times New Roman" w:hAnsi="Times New Roman"/>
          <w:b/>
          <w:szCs w:val="24"/>
        </w:rPr>
        <w:t xml:space="preserve">s and </w:t>
      </w:r>
      <w:r w:rsidR="001E5FFB" w:rsidRPr="003572AF">
        <w:rPr>
          <w:rFonts w:ascii="Times New Roman" w:hAnsi="Times New Roman"/>
          <w:b/>
          <w:szCs w:val="24"/>
        </w:rPr>
        <w:t>agent</w:t>
      </w:r>
      <w:r w:rsidR="00E51A94" w:rsidRPr="003572AF">
        <w:rPr>
          <w:rFonts w:ascii="Times New Roman" w:hAnsi="Times New Roman"/>
          <w:b/>
          <w:szCs w:val="24"/>
        </w:rPr>
        <w:t>s in the Augusta-</w:t>
      </w:r>
      <w:r w:rsidRPr="003572AF">
        <w:rPr>
          <w:rFonts w:ascii="Times New Roman" w:hAnsi="Times New Roman"/>
          <w:b/>
          <w:szCs w:val="24"/>
        </w:rPr>
        <w:t xml:space="preserve">Richmond County area for the </w:t>
      </w:r>
      <w:r w:rsidR="001037B1">
        <w:rPr>
          <w:rFonts w:ascii="Times New Roman" w:hAnsi="Times New Roman"/>
          <w:b/>
          <w:szCs w:val="24"/>
        </w:rPr>
        <w:t>Housing Choice Voucher</w:t>
      </w:r>
      <w:r w:rsidR="003572AF">
        <w:rPr>
          <w:rFonts w:ascii="Times New Roman" w:hAnsi="Times New Roman"/>
          <w:b/>
          <w:szCs w:val="24"/>
        </w:rPr>
        <w:t xml:space="preserve"> </w:t>
      </w:r>
      <w:r w:rsidR="001037B1">
        <w:rPr>
          <w:rFonts w:ascii="Times New Roman" w:hAnsi="Times New Roman"/>
          <w:b/>
          <w:szCs w:val="24"/>
        </w:rPr>
        <w:t xml:space="preserve">(HCV) </w:t>
      </w:r>
      <w:r w:rsidRPr="003572AF">
        <w:rPr>
          <w:rFonts w:ascii="Times New Roman" w:hAnsi="Times New Roman"/>
          <w:b/>
          <w:szCs w:val="24"/>
        </w:rPr>
        <w:t xml:space="preserve">Program.  If you have property that you are interested in renting, </w:t>
      </w:r>
      <w:r w:rsidR="001E5FFB" w:rsidRPr="003572AF">
        <w:rPr>
          <w:rFonts w:ascii="Times New Roman" w:hAnsi="Times New Roman"/>
          <w:b/>
          <w:szCs w:val="24"/>
        </w:rPr>
        <w:t xml:space="preserve">we may be able to assist you by listing your property on the </w:t>
      </w:r>
      <w:r w:rsidR="001037B1">
        <w:rPr>
          <w:rFonts w:ascii="Times New Roman" w:hAnsi="Times New Roman"/>
          <w:b/>
          <w:szCs w:val="24"/>
        </w:rPr>
        <w:t xml:space="preserve">HCV </w:t>
      </w:r>
      <w:r w:rsidR="007634AC">
        <w:rPr>
          <w:rFonts w:ascii="Times New Roman" w:hAnsi="Times New Roman"/>
          <w:b/>
          <w:szCs w:val="24"/>
        </w:rPr>
        <w:t>Availability L</w:t>
      </w:r>
      <w:r w:rsidR="001E5FFB" w:rsidRPr="003572AF">
        <w:rPr>
          <w:rFonts w:ascii="Times New Roman" w:hAnsi="Times New Roman"/>
          <w:b/>
          <w:szCs w:val="24"/>
        </w:rPr>
        <w:t xml:space="preserve">ist and at </w:t>
      </w:r>
      <w:hyperlink r:id="rId5" w:history="1">
        <w:r w:rsidR="001037B1" w:rsidRPr="005870A0">
          <w:rPr>
            <w:rStyle w:val="Hyperlink"/>
            <w:rFonts w:ascii="Times New Roman" w:hAnsi="Times New Roman"/>
            <w:b/>
            <w:szCs w:val="24"/>
          </w:rPr>
          <w:t>www.affordablehousing.com</w:t>
        </w:r>
      </w:hyperlink>
      <w:r w:rsidR="001E5FFB" w:rsidRPr="003572AF">
        <w:rPr>
          <w:rFonts w:ascii="Times New Roman" w:hAnsi="Times New Roman"/>
          <w:b/>
          <w:szCs w:val="24"/>
        </w:rPr>
        <w:t xml:space="preserve">. </w:t>
      </w:r>
      <w:r w:rsidR="007634AC">
        <w:rPr>
          <w:rFonts w:ascii="Times New Roman" w:hAnsi="Times New Roman"/>
          <w:b/>
          <w:szCs w:val="24"/>
        </w:rPr>
        <w:t>T</w:t>
      </w:r>
      <w:r w:rsidR="007634AC" w:rsidRPr="003572AF">
        <w:rPr>
          <w:rFonts w:ascii="Times New Roman" w:hAnsi="Times New Roman"/>
          <w:b/>
          <w:szCs w:val="24"/>
        </w:rPr>
        <w:t>o qualify for this program</w:t>
      </w:r>
      <w:r w:rsidR="007634AC">
        <w:rPr>
          <w:rFonts w:ascii="Times New Roman" w:hAnsi="Times New Roman"/>
          <w:b/>
          <w:szCs w:val="24"/>
        </w:rPr>
        <w:t>,</w:t>
      </w:r>
      <w:r w:rsidR="007634AC" w:rsidRPr="003572AF">
        <w:rPr>
          <w:rFonts w:ascii="Times New Roman" w:hAnsi="Times New Roman"/>
          <w:b/>
          <w:szCs w:val="24"/>
        </w:rPr>
        <w:t xml:space="preserve"> </w:t>
      </w:r>
      <w:r w:rsidR="007634AC">
        <w:rPr>
          <w:rFonts w:ascii="Times New Roman" w:hAnsi="Times New Roman"/>
          <w:b/>
          <w:szCs w:val="24"/>
        </w:rPr>
        <w:t>t</w:t>
      </w:r>
      <w:r w:rsidR="001E5FFB" w:rsidRPr="003572AF">
        <w:rPr>
          <w:rFonts w:ascii="Times New Roman" w:hAnsi="Times New Roman"/>
          <w:b/>
          <w:szCs w:val="24"/>
        </w:rPr>
        <w:t xml:space="preserve">he property must </w:t>
      </w:r>
      <w:proofErr w:type="gramStart"/>
      <w:r w:rsidR="001E5FFB" w:rsidRPr="003572AF">
        <w:rPr>
          <w:rFonts w:ascii="Times New Roman" w:hAnsi="Times New Roman"/>
          <w:b/>
          <w:szCs w:val="24"/>
        </w:rPr>
        <w:t>be located in</w:t>
      </w:r>
      <w:proofErr w:type="gramEnd"/>
      <w:r w:rsidR="001E5FFB" w:rsidRPr="003572AF">
        <w:rPr>
          <w:rFonts w:ascii="Times New Roman" w:hAnsi="Times New Roman"/>
          <w:b/>
          <w:szCs w:val="24"/>
        </w:rPr>
        <w:t xml:space="preserve"> Augusta-Richmond County, Georgia and must </w:t>
      </w:r>
      <w:r w:rsidR="000B740E" w:rsidRPr="003572AF">
        <w:rPr>
          <w:rFonts w:ascii="Times New Roman" w:hAnsi="Times New Roman"/>
          <w:b/>
          <w:szCs w:val="24"/>
        </w:rPr>
        <w:t>meet</w:t>
      </w:r>
      <w:r w:rsidR="001E5FFB" w:rsidRPr="003572AF">
        <w:rPr>
          <w:rFonts w:ascii="Times New Roman" w:hAnsi="Times New Roman"/>
          <w:b/>
          <w:szCs w:val="24"/>
        </w:rPr>
        <w:t xml:space="preserve"> the U.S. Department of Housing and Urban Development’s </w:t>
      </w:r>
      <w:r w:rsidR="000B740E" w:rsidRPr="003572AF">
        <w:rPr>
          <w:rFonts w:ascii="Times New Roman" w:hAnsi="Times New Roman"/>
          <w:b/>
          <w:szCs w:val="24"/>
        </w:rPr>
        <w:t>Housing Quality Standards</w:t>
      </w:r>
      <w:r w:rsidR="001E5FFB" w:rsidRPr="003572AF">
        <w:rPr>
          <w:rFonts w:ascii="Times New Roman" w:hAnsi="Times New Roman"/>
          <w:b/>
          <w:szCs w:val="24"/>
        </w:rPr>
        <w:t xml:space="preserve">.  </w:t>
      </w:r>
    </w:p>
    <w:p w14:paraId="7E94F86F" w14:textId="77777777" w:rsidR="008A16D3" w:rsidRPr="003572AF" w:rsidRDefault="008A16D3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center"/>
        <w:rPr>
          <w:rFonts w:ascii="Times New Roman" w:hAnsi="Times New Roman"/>
          <w:b/>
          <w:sz w:val="10"/>
          <w:szCs w:val="10"/>
        </w:rPr>
      </w:pPr>
    </w:p>
    <w:p w14:paraId="340BA6AC" w14:textId="4FE9F1F6" w:rsidR="0038784E" w:rsidRPr="003572AF" w:rsidRDefault="0038784E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both"/>
        <w:rPr>
          <w:rFonts w:ascii="Times New Roman" w:hAnsi="Times New Roman"/>
          <w:b/>
          <w:szCs w:val="24"/>
        </w:rPr>
      </w:pPr>
      <w:r w:rsidRPr="003572AF">
        <w:rPr>
          <w:rFonts w:ascii="Times New Roman" w:hAnsi="Times New Roman"/>
          <w:b/>
          <w:szCs w:val="24"/>
        </w:rPr>
        <w:t xml:space="preserve">Below are the current rental </w:t>
      </w:r>
      <w:r w:rsidR="00C0145D" w:rsidRPr="003572AF">
        <w:rPr>
          <w:rFonts w:ascii="Times New Roman" w:hAnsi="Times New Roman"/>
          <w:b/>
          <w:szCs w:val="24"/>
        </w:rPr>
        <w:t xml:space="preserve">rates that are paid for </w:t>
      </w:r>
      <w:r w:rsidRPr="003572AF">
        <w:rPr>
          <w:rFonts w:ascii="Times New Roman" w:hAnsi="Times New Roman"/>
          <w:b/>
          <w:szCs w:val="24"/>
        </w:rPr>
        <w:t>assisted units</w:t>
      </w:r>
      <w:r w:rsidR="00C0145D" w:rsidRPr="003572AF">
        <w:rPr>
          <w:rFonts w:ascii="Times New Roman" w:hAnsi="Times New Roman"/>
          <w:b/>
          <w:szCs w:val="24"/>
        </w:rPr>
        <w:t xml:space="preserve"> under the </w:t>
      </w:r>
      <w:r w:rsidR="001037B1">
        <w:rPr>
          <w:rFonts w:ascii="Times New Roman" w:hAnsi="Times New Roman"/>
          <w:b/>
          <w:szCs w:val="24"/>
        </w:rPr>
        <w:t>HCV</w:t>
      </w:r>
      <w:r w:rsidR="00C0145D" w:rsidRPr="003572AF">
        <w:rPr>
          <w:rFonts w:ascii="Times New Roman" w:hAnsi="Times New Roman"/>
          <w:b/>
          <w:szCs w:val="24"/>
        </w:rPr>
        <w:t xml:space="preserve"> Program</w:t>
      </w:r>
      <w:r w:rsidRPr="003572AF">
        <w:rPr>
          <w:rFonts w:ascii="Times New Roman" w:hAnsi="Times New Roman"/>
          <w:b/>
          <w:szCs w:val="24"/>
        </w:rPr>
        <w:t>:</w:t>
      </w:r>
    </w:p>
    <w:p w14:paraId="3E05E123" w14:textId="77777777" w:rsidR="00C0145D" w:rsidRPr="003572AF" w:rsidRDefault="00C0145D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both"/>
        <w:rPr>
          <w:rFonts w:ascii="Times New Roman" w:hAnsi="Times New Roman"/>
          <w:b/>
          <w:sz w:val="6"/>
          <w:szCs w:val="6"/>
        </w:rPr>
      </w:pPr>
    </w:p>
    <w:p w14:paraId="029ACE97" w14:textId="77777777" w:rsidR="00C0145D" w:rsidRPr="003572AF" w:rsidRDefault="003572AF" w:rsidP="003572AF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center"/>
        <w:rPr>
          <w:rFonts w:ascii="Times New Roman" w:hAnsi="Times New Roman"/>
          <w:b/>
          <w:szCs w:val="24"/>
          <w:u w:val="single"/>
        </w:rPr>
      </w:pPr>
      <w:r w:rsidRPr="003572AF">
        <w:rPr>
          <w:rFonts w:ascii="Times New Roman" w:hAnsi="Times New Roman"/>
          <w:b/>
          <w:szCs w:val="24"/>
          <w:u w:val="single"/>
        </w:rPr>
        <w:t>Maximum Rents</w:t>
      </w:r>
    </w:p>
    <w:p w14:paraId="04679A1B" w14:textId="32B566B3" w:rsidR="001037B1" w:rsidRDefault="001037B1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0-Bdrm     Up to $610</w:t>
      </w:r>
      <w:r>
        <w:rPr>
          <w:rFonts w:ascii="Times New Roman" w:hAnsi="Times New Roman"/>
          <w:b/>
          <w:szCs w:val="24"/>
        </w:rPr>
        <w:tab/>
      </w:r>
      <w:r w:rsidR="000B740E" w:rsidRPr="003572AF">
        <w:rPr>
          <w:rFonts w:ascii="Times New Roman" w:hAnsi="Times New Roman"/>
          <w:b/>
          <w:szCs w:val="24"/>
        </w:rPr>
        <w:t>1-Bdrm</w:t>
      </w:r>
      <w:r>
        <w:rPr>
          <w:rFonts w:ascii="Times New Roman" w:hAnsi="Times New Roman"/>
          <w:b/>
          <w:szCs w:val="24"/>
        </w:rPr>
        <w:t xml:space="preserve">     Up to </w:t>
      </w:r>
      <w:r w:rsidR="00C53ABA">
        <w:rPr>
          <w:rFonts w:ascii="Times New Roman" w:hAnsi="Times New Roman"/>
          <w:b/>
          <w:szCs w:val="24"/>
        </w:rPr>
        <w:t>$</w:t>
      </w:r>
      <w:r>
        <w:rPr>
          <w:rFonts w:ascii="Times New Roman" w:hAnsi="Times New Roman"/>
          <w:b/>
          <w:szCs w:val="24"/>
        </w:rPr>
        <w:t>690</w:t>
      </w:r>
      <w:r>
        <w:rPr>
          <w:rFonts w:ascii="Times New Roman" w:hAnsi="Times New Roman"/>
          <w:b/>
          <w:szCs w:val="24"/>
        </w:rPr>
        <w:tab/>
      </w:r>
      <w:r w:rsidR="00C0145D" w:rsidRPr="003572AF">
        <w:rPr>
          <w:rFonts w:ascii="Times New Roman" w:hAnsi="Times New Roman"/>
          <w:b/>
          <w:szCs w:val="24"/>
        </w:rPr>
        <w:t>2-Bdrm</w:t>
      </w:r>
      <w:r w:rsidR="000B740E" w:rsidRPr="003572A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</w:t>
      </w:r>
      <w:r w:rsidR="00C0145D" w:rsidRPr="003572AF">
        <w:rPr>
          <w:rFonts w:ascii="Times New Roman" w:hAnsi="Times New Roman"/>
          <w:b/>
          <w:szCs w:val="24"/>
        </w:rPr>
        <w:t>$</w:t>
      </w:r>
      <w:r>
        <w:rPr>
          <w:rFonts w:ascii="Times New Roman" w:hAnsi="Times New Roman"/>
          <w:b/>
          <w:szCs w:val="24"/>
        </w:rPr>
        <w:t>630-$775</w:t>
      </w:r>
      <w:r>
        <w:rPr>
          <w:rFonts w:ascii="Times New Roman" w:hAnsi="Times New Roman"/>
          <w:b/>
          <w:szCs w:val="24"/>
        </w:rPr>
        <w:tab/>
      </w:r>
    </w:p>
    <w:p w14:paraId="3C6D978A" w14:textId="6AD1B97B" w:rsidR="00C0145D" w:rsidRPr="003572AF" w:rsidRDefault="00C0145D" w:rsidP="00A21C6C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both"/>
        <w:rPr>
          <w:rFonts w:ascii="Times New Roman" w:hAnsi="Times New Roman"/>
          <w:b/>
          <w:szCs w:val="24"/>
        </w:rPr>
      </w:pPr>
      <w:r w:rsidRPr="003572AF">
        <w:rPr>
          <w:rFonts w:ascii="Times New Roman" w:hAnsi="Times New Roman"/>
          <w:b/>
          <w:szCs w:val="24"/>
        </w:rPr>
        <w:t>3-Bdrm     $</w:t>
      </w:r>
      <w:r w:rsidR="001037B1">
        <w:rPr>
          <w:rFonts w:ascii="Times New Roman" w:hAnsi="Times New Roman"/>
          <w:b/>
          <w:szCs w:val="24"/>
        </w:rPr>
        <w:t>775-$900</w:t>
      </w:r>
      <w:r w:rsidR="000B740E" w:rsidRPr="003572AF">
        <w:rPr>
          <w:rFonts w:ascii="Times New Roman" w:hAnsi="Times New Roman"/>
          <w:b/>
          <w:szCs w:val="24"/>
        </w:rPr>
        <w:t xml:space="preserve">      </w:t>
      </w:r>
      <w:r w:rsidR="001037B1">
        <w:rPr>
          <w:rFonts w:ascii="Times New Roman" w:hAnsi="Times New Roman"/>
          <w:b/>
          <w:szCs w:val="24"/>
        </w:rPr>
        <w:tab/>
      </w:r>
      <w:r w:rsidRPr="003572AF">
        <w:rPr>
          <w:rFonts w:ascii="Times New Roman" w:hAnsi="Times New Roman"/>
          <w:b/>
          <w:szCs w:val="24"/>
        </w:rPr>
        <w:t xml:space="preserve">4-Bdrm   </w:t>
      </w:r>
      <w:r w:rsidR="001037B1">
        <w:rPr>
          <w:rFonts w:ascii="Times New Roman" w:hAnsi="Times New Roman"/>
          <w:b/>
          <w:szCs w:val="24"/>
        </w:rPr>
        <w:t xml:space="preserve">  </w:t>
      </w:r>
      <w:r w:rsidRPr="003572AF">
        <w:rPr>
          <w:rFonts w:ascii="Times New Roman" w:hAnsi="Times New Roman"/>
          <w:b/>
          <w:szCs w:val="24"/>
        </w:rPr>
        <w:t>$</w:t>
      </w:r>
      <w:r w:rsidR="001037B1">
        <w:rPr>
          <w:rFonts w:ascii="Times New Roman" w:hAnsi="Times New Roman"/>
          <w:b/>
          <w:szCs w:val="24"/>
        </w:rPr>
        <w:t>875-$1000</w:t>
      </w:r>
    </w:p>
    <w:p w14:paraId="0FC56C7F" w14:textId="226F973B" w:rsidR="00C0145D" w:rsidRPr="003572AF" w:rsidRDefault="009609B8" w:rsidP="009609B8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1" w:color="auto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Effective Date:  11/1/2021</w:t>
      </w:r>
    </w:p>
    <w:p w14:paraId="23DFF5BE" w14:textId="77777777" w:rsidR="00C0145D" w:rsidRPr="003572AF" w:rsidRDefault="00C0145D" w:rsidP="00C0145D">
      <w:pPr>
        <w:jc w:val="both"/>
        <w:rPr>
          <w:rFonts w:ascii="Times New Roman" w:hAnsi="Times New Roman"/>
          <w:b/>
          <w:sz w:val="10"/>
          <w:szCs w:val="10"/>
        </w:rPr>
      </w:pPr>
    </w:p>
    <w:sectPr w:rsidR="00C0145D" w:rsidRPr="003572AF">
      <w:type w:val="continuous"/>
      <w:pgSz w:w="12240" w:h="15840"/>
      <w:pgMar w:top="1080" w:right="2160" w:bottom="108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D1"/>
    <w:rsid w:val="00077DBA"/>
    <w:rsid w:val="000B740E"/>
    <w:rsid w:val="001037B1"/>
    <w:rsid w:val="00150DD9"/>
    <w:rsid w:val="001602A0"/>
    <w:rsid w:val="001E5FFB"/>
    <w:rsid w:val="002C16D0"/>
    <w:rsid w:val="00317F64"/>
    <w:rsid w:val="003572AF"/>
    <w:rsid w:val="0038784E"/>
    <w:rsid w:val="003C0106"/>
    <w:rsid w:val="003E6C82"/>
    <w:rsid w:val="0041606D"/>
    <w:rsid w:val="0043264D"/>
    <w:rsid w:val="004C31DF"/>
    <w:rsid w:val="00572CC2"/>
    <w:rsid w:val="0059590F"/>
    <w:rsid w:val="00627A8A"/>
    <w:rsid w:val="00680D18"/>
    <w:rsid w:val="007538A3"/>
    <w:rsid w:val="007634AC"/>
    <w:rsid w:val="0081749B"/>
    <w:rsid w:val="008A16D3"/>
    <w:rsid w:val="008E37A7"/>
    <w:rsid w:val="009109C6"/>
    <w:rsid w:val="009609B8"/>
    <w:rsid w:val="00A164D1"/>
    <w:rsid w:val="00A21C6C"/>
    <w:rsid w:val="00A93BEB"/>
    <w:rsid w:val="00BC22C9"/>
    <w:rsid w:val="00C0145D"/>
    <w:rsid w:val="00C104EF"/>
    <w:rsid w:val="00C3413F"/>
    <w:rsid w:val="00C53ABA"/>
    <w:rsid w:val="00CC7321"/>
    <w:rsid w:val="00DA2E4B"/>
    <w:rsid w:val="00E035A6"/>
    <w:rsid w:val="00E51A94"/>
    <w:rsid w:val="00E8507B"/>
    <w:rsid w:val="00EE610D"/>
    <w:rsid w:val="00F52060"/>
    <w:rsid w:val="00FE077B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48538"/>
  <w15:docId w15:val="{96487CF0-61F7-4C39-A80C-A74B97C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C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2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fordablehous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NoticeLowerIncomeFamilies</vt:lpstr>
    </vt:vector>
  </TitlesOfParts>
  <Company>AHA</Company>
  <LinksUpToDate>false</LinksUpToDate>
  <CharactersWithSpaces>898</CharactersWithSpaces>
  <SharedDoc>false</SharedDoc>
  <HLinks>
    <vt:vector size="18" baseType="variant"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http://www.hud.gov/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http://www.augustapha.org/</vt:lpwstr>
      </vt:variant>
      <vt:variant>
        <vt:lpwstr/>
      </vt:variant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mailto:srogers@augustapha.org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NoticeLowerIncomeFamilies</dc:title>
  <dc:creator>Augusta Housing Authority</dc:creator>
  <cp:lastModifiedBy>Sirena Rogers</cp:lastModifiedBy>
  <cp:revision>3</cp:revision>
  <cp:lastPrinted>2017-08-24T13:34:00Z</cp:lastPrinted>
  <dcterms:created xsi:type="dcterms:W3CDTF">2021-10-28T14:27:00Z</dcterms:created>
  <dcterms:modified xsi:type="dcterms:W3CDTF">2021-10-28T14:29:00Z</dcterms:modified>
</cp:coreProperties>
</file>